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E095C" w14:textId="77777777" w:rsidR="00834E8F" w:rsidRPr="003E43C7" w:rsidRDefault="00834E8F" w:rsidP="004D7358">
      <w:pPr>
        <w:keepNext/>
        <w:spacing w:before="560" w:after="120" w:line="276" w:lineRule="auto"/>
        <w:ind w:left="360"/>
        <w:jc w:val="center"/>
        <w:outlineLvl w:val="1"/>
        <w:rPr>
          <w:rFonts w:ascii="Times New Roman" w:hAnsi="Times New Roman" w:cs="Times New Roman"/>
        </w:rPr>
      </w:pPr>
      <w:r w:rsidRPr="00883CB2">
        <w:rPr>
          <w:rFonts w:ascii="Times New Roman" w:eastAsia="Times New Roman" w:hAnsi="Times New Roman" w:cs="Times New Roman"/>
          <w:b/>
          <w:bCs/>
          <w:iCs/>
          <w:caps/>
          <w:lang w:val="x-none"/>
        </w:rPr>
        <w:t>DICHIARAZIONE DNSH E PRINCIPI PNRR</w:t>
      </w:r>
    </w:p>
    <w:p w14:paraId="4F09F4D9" w14:textId="77777777" w:rsidR="00834E8F" w:rsidRDefault="00834E8F" w:rsidP="00834E8F">
      <w:pPr>
        <w:spacing w:after="53" w:line="276" w:lineRule="auto"/>
        <w:jc w:val="center"/>
        <w:rPr>
          <w:rFonts w:ascii="Times New Roman" w:hAnsi="Times New Roman" w:cs="Times New Roman"/>
          <w:b/>
          <w:bCs/>
        </w:rPr>
      </w:pPr>
      <w:r w:rsidRPr="00E65560">
        <w:rPr>
          <w:rFonts w:ascii="Times New Roman" w:hAnsi="Times New Roman" w:cs="Times New Roman"/>
          <w:b/>
          <w:bCs/>
        </w:rPr>
        <w:t xml:space="preserve">DICHIARAZIONE SUL RISPETTO DEI PRINCIPI PREVISTI PER GLI INTERVENTI DEL PNRR </w:t>
      </w:r>
    </w:p>
    <w:p w14:paraId="4C030E49" w14:textId="77777777" w:rsidR="00834E8F" w:rsidRPr="0096450B" w:rsidRDefault="00834E8F" w:rsidP="00834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96450B">
        <w:rPr>
          <w:rFonts w:ascii="Times New Roman" w:eastAsia="Calibri" w:hAnsi="Times New Roman" w:cs="Times New Roman"/>
          <w:color w:val="000000"/>
          <w:sz w:val="20"/>
          <w:szCs w:val="20"/>
        </w:rPr>
        <w:t>(resa ai sensi dell’art. 46 Testo unico delle disposizioni legislative e regolamentari in materia di documentazione amministrativa n. 445/2000).</w:t>
      </w:r>
    </w:p>
    <w:p w14:paraId="2C47DE1D" w14:textId="77777777" w:rsidR="00834E8F" w:rsidRPr="0096450B" w:rsidRDefault="00834E8F" w:rsidP="00834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33BF1751" w14:textId="77777777" w:rsidR="00834E8F" w:rsidRPr="00E65560" w:rsidRDefault="00834E8F" w:rsidP="00834E8F">
      <w:pPr>
        <w:spacing w:after="53" w:line="499" w:lineRule="auto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La/Il sottoscritta/o ________________________________________________________________,  nata/o a ___________________________________________, il ___________________________, </w:t>
      </w:r>
    </w:p>
    <w:p w14:paraId="44EE40E3" w14:textId="77777777" w:rsidR="00834E8F" w:rsidRPr="00E65560" w:rsidRDefault="00834E8F" w:rsidP="00834E8F">
      <w:pPr>
        <w:tabs>
          <w:tab w:val="center" w:pos="4775"/>
          <w:tab w:val="center" w:pos="5556"/>
          <w:tab w:val="center" w:pos="6337"/>
          <w:tab w:val="center" w:pos="7067"/>
          <w:tab w:val="center" w:pos="8396"/>
          <w:tab w:val="right" w:pos="9643"/>
        </w:tabs>
        <w:spacing w:after="111" w:line="260" w:lineRule="auto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CF_________________________________, 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ab/>
        <w:t xml:space="preserve">in 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ab/>
        <w:t xml:space="preserve">qualità 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ab/>
        <w:t xml:space="preserve">di 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ab/>
        <w:t xml:space="preserve">legale 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ab/>
        <w:t xml:space="preserve">rappresentante 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ab/>
        <w:t xml:space="preserve">di </w:t>
      </w:r>
    </w:p>
    <w:p w14:paraId="033C22BB" w14:textId="77777777" w:rsidR="00834E8F" w:rsidRPr="00E65560" w:rsidRDefault="00834E8F" w:rsidP="00834E8F">
      <w:pPr>
        <w:spacing w:after="1" w:line="356" w:lineRule="auto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____________________________________________, con sede legale in Via/piazza __________________________________, n. _____, cap. ________, tel._____________________________, posta elettronica certificata (PEC) </w:t>
      </w:r>
    </w:p>
    <w:p w14:paraId="350D0061" w14:textId="77777777" w:rsidR="00834E8F" w:rsidRPr="00E65560" w:rsidRDefault="00834E8F" w:rsidP="00834E8F">
      <w:pPr>
        <w:spacing w:after="0" w:line="358" w:lineRule="auto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____________________________________________________, ai sensi degli articoli 46 e 47 del decreto del Presidente della Repubblica 28 dicembre 2000, n. 445 e, quindi, consapevole delle responsabilità di ordine amministrativo, civile e penale in caso di dichiarazioni mendaci, ai sensi dell’art. 76 del medesimo decreto del Presidente della Repubblica  </w:t>
      </w:r>
    </w:p>
    <w:p w14:paraId="4ED455AB" w14:textId="77777777" w:rsidR="00834E8F" w:rsidRPr="00E65560" w:rsidRDefault="00834E8F" w:rsidP="00834E8F">
      <w:pPr>
        <w:spacing w:after="299"/>
        <w:ind w:right="6"/>
        <w:jc w:val="center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b/>
          <w:color w:val="000000"/>
          <w:lang w:eastAsia="it-IT"/>
        </w:rPr>
        <w:t xml:space="preserve">DICHIARA SOTTO LA PROPRIA RESPONSABILITÀ </w:t>
      </w:r>
    </w:p>
    <w:p w14:paraId="42E75617" w14:textId="77777777" w:rsidR="00834E8F" w:rsidRPr="00E65560" w:rsidRDefault="00834E8F" w:rsidP="00834E8F">
      <w:pPr>
        <w:numPr>
          <w:ilvl w:val="0"/>
          <w:numId w:val="2"/>
        </w:numPr>
        <w:spacing w:after="57" w:line="257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che il progetto presentato non è finanziato da altre fonti del bilancio dell’Unione europea, in ottemperanza a quanto previsto dall’articolo 9 del Regolamento (UE) 2021/241; </w:t>
      </w:r>
    </w:p>
    <w:p w14:paraId="3FDE8972" w14:textId="77777777" w:rsidR="00834E8F" w:rsidRPr="00E65560" w:rsidRDefault="00834E8F" w:rsidP="00834E8F">
      <w:pPr>
        <w:numPr>
          <w:ilvl w:val="0"/>
          <w:numId w:val="2"/>
        </w:numPr>
        <w:spacing w:after="53" w:line="260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che la realizzazione delle attività progettuali prevederà il rispetto del principio di addizionalità del sostegno dell’Unione europea previsto dall’articolo 9 del regolamento (UE) 2021/241; </w:t>
      </w:r>
    </w:p>
    <w:p w14:paraId="574BB321" w14:textId="77777777" w:rsidR="00834E8F" w:rsidRPr="00E65560" w:rsidRDefault="00834E8F" w:rsidP="00834E8F">
      <w:pPr>
        <w:numPr>
          <w:ilvl w:val="0"/>
          <w:numId w:val="2"/>
        </w:numPr>
        <w:spacing w:after="53" w:line="260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che la realizzazione delle attività progettuali prevederà di non arrecare un danno significativo agli obiettivi ambientali, ai sensi dell’articolo 17 del regolamento (UE) 2020/852; </w:t>
      </w:r>
    </w:p>
    <w:p w14:paraId="0E23D53A" w14:textId="77777777" w:rsidR="00834E8F" w:rsidRPr="00E65560" w:rsidRDefault="00834E8F" w:rsidP="00834E8F">
      <w:pPr>
        <w:numPr>
          <w:ilvl w:val="0"/>
          <w:numId w:val="2"/>
        </w:numPr>
        <w:spacing w:after="53" w:line="260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>che la realizzazione delle attività progettuali sarà coerente con i principi e gli obblighi specifici del PNRR relativamente al principio del “</w:t>
      </w:r>
      <w:r w:rsidRPr="00E65560">
        <w:rPr>
          <w:rFonts w:ascii="Times New Roman" w:eastAsia="Garamond" w:hAnsi="Times New Roman" w:cs="Times New Roman"/>
          <w:i/>
          <w:color w:val="000000"/>
          <w:lang w:eastAsia="it-IT"/>
        </w:rPr>
        <w:t xml:space="preserve">Do No </w:t>
      </w:r>
      <w:proofErr w:type="spellStart"/>
      <w:r w:rsidRPr="00E65560">
        <w:rPr>
          <w:rFonts w:ascii="Times New Roman" w:eastAsia="Garamond" w:hAnsi="Times New Roman" w:cs="Times New Roman"/>
          <w:i/>
          <w:color w:val="000000"/>
          <w:lang w:eastAsia="it-IT"/>
        </w:rPr>
        <w:t>Significant</w:t>
      </w:r>
      <w:proofErr w:type="spellEnd"/>
      <w:r w:rsidRPr="00E65560">
        <w:rPr>
          <w:rFonts w:ascii="Times New Roman" w:eastAsia="Garamond" w:hAnsi="Times New Roman" w:cs="Times New Roman"/>
          <w:i/>
          <w:color w:val="000000"/>
          <w:lang w:eastAsia="it-IT"/>
        </w:rPr>
        <w:t xml:space="preserve"> </w:t>
      </w:r>
      <w:proofErr w:type="spellStart"/>
      <w:r w:rsidRPr="00E65560">
        <w:rPr>
          <w:rFonts w:ascii="Times New Roman" w:eastAsia="Garamond" w:hAnsi="Times New Roman" w:cs="Times New Roman"/>
          <w:i/>
          <w:color w:val="000000"/>
          <w:lang w:eastAsia="it-IT"/>
        </w:rPr>
        <w:t>Harm</w:t>
      </w:r>
      <w:proofErr w:type="spellEnd"/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” (DNSH) e, ove applicabili, ai principi del </w:t>
      </w:r>
      <w:r w:rsidRPr="00E65560">
        <w:rPr>
          <w:rFonts w:ascii="Times New Roman" w:eastAsia="Garamond" w:hAnsi="Times New Roman" w:cs="Times New Roman"/>
          <w:i/>
          <w:color w:val="000000"/>
          <w:lang w:eastAsia="it-IT"/>
        </w:rPr>
        <w:t>Tagging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 clima e digitale, della parità di genere (</w:t>
      </w:r>
      <w:r w:rsidRPr="00E65560">
        <w:rPr>
          <w:rFonts w:ascii="Times New Roman" w:eastAsia="Garamond" w:hAnsi="Times New Roman" w:cs="Times New Roman"/>
          <w:i/>
          <w:color w:val="000000"/>
          <w:lang w:eastAsia="it-IT"/>
        </w:rPr>
        <w:t>Gender Equality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), della protezione e valorizzazione dei giovani e del superamento dei divari territoriali; </w:t>
      </w:r>
    </w:p>
    <w:p w14:paraId="0FB7DC8D" w14:textId="77777777" w:rsidR="00834E8F" w:rsidRPr="00E65560" w:rsidRDefault="00834E8F" w:rsidP="00834E8F">
      <w:pPr>
        <w:numPr>
          <w:ilvl w:val="0"/>
          <w:numId w:val="2"/>
        </w:numPr>
        <w:spacing w:after="53" w:line="260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che la proposta progettuale prevede il rispetto delle norme comunitarie e nazionali applicabili, ivi incluse quelle in materia di trasparenza, uguaglianza di genere e pari opportunità e tutela dei diversamente abili; </w:t>
      </w:r>
    </w:p>
    <w:p w14:paraId="1B94D5D5" w14:textId="77777777" w:rsidR="00834E8F" w:rsidRPr="00E65560" w:rsidRDefault="00834E8F" w:rsidP="00834E8F">
      <w:pPr>
        <w:numPr>
          <w:ilvl w:val="0"/>
          <w:numId w:val="2"/>
        </w:numPr>
        <w:spacing w:after="53" w:line="260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che l’attuazione del progetto prevede il rispetto della normativa europea e nazionale applicabile, con particolare riferimento ai principi di parità di trattamento, non discriminazione, trasparenza, proporzionalità e pubblicità; </w:t>
      </w:r>
    </w:p>
    <w:p w14:paraId="37DC003B" w14:textId="77777777" w:rsidR="00834E8F" w:rsidRPr="00E65560" w:rsidRDefault="00834E8F" w:rsidP="00834E8F">
      <w:pPr>
        <w:numPr>
          <w:ilvl w:val="0"/>
          <w:numId w:val="2"/>
        </w:numPr>
        <w:spacing w:after="53" w:line="260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che adotterà misure adeguate volte a rispettare il principio di sana gestione finanziaria secondo quanto disciplinato nel regolamento finanziario (UE, </w:t>
      </w:r>
      <w:proofErr w:type="spellStart"/>
      <w:r w:rsidRPr="00E65560">
        <w:rPr>
          <w:rFonts w:ascii="Times New Roman" w:eastAsia="Garamond" w:hAnsi="Times New Roman" w:cs="Times New Roman"/>
          <w:color w:val="000000"/>
          <w:lang w:eastAsia="it-IT"/>
        </w:rPr>
        <w:t>Euratom</w:t>
      </w:r>
      <w:proofErr w:type="spellEnd"/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) 2018/1046 e nell’articolo 22 del regolamento (UE) 2021/240, in particolare in materia di prevenzione dei conflitti di interessi, delle frodi, della corruzione e di recupero e restituzione dei fondi che sono stati indebitamente assegnati; </w:t>
      </w:r>
    </w:p>
    <w:p w14:paraId="0E01A596" w14:textId="77777777" w:rsidR="00834E8F" w:rsidRPr="00E65560" w:rsidRDefault="00834E8F" w:rsidP="00834E8F">
      <w:pPr>
        <w:numPr>
          <w:ilvl w:val="0"/>
          <w:numId w:val="2"/>
        </w:numPr>
        <w:spacing w:after="53" w:line="260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di disporre delle competenze, risorse e qualifiche professionali, sia tecniche che amministrative, necessarie per portare a termine il progetto e assicurare il raggiungimento di eventuali </w:t>
      </w:r>
      <w:r w:rsidRPr="00E65560">
        <w:rPr>
          <w:rFonts w:ascii="Times New Roman" w:eastAsia="Garamond" w:hAnsi="Times New Roman" w:cs="Times New Roman"/>
          <w:i/>
          <w:color w:val="000000"/>
          <w:lang w:eastAsia="it-IT"/>
        </w:rPr>
        <w:t>milestone e target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 associati; </w:t>
      </w:r>
    </w:p>
    <w:p w14:paraId="703A3046" w14:textId="77777777" w:rsidR="00834E8F" w:rsidRPr="00E65560" w:rsidRDefault="00834E8F" w:rsidP="00834E8F">
      <w:pPr>
        <w:numPr>
          <w:ilvl w:val="0"/>
          <w:numId w:val="2"/>
        </w:numPr>
        <w:spacing w:after="57" w:line="257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>di aver considerato e valutato tutte le condizioni che possono incidere sull’ottenimento e utilizzo del finanziamento a valere sulle risorse dell’</w:t>
      </w:r>
      <w:r w:rsidRPr="00AE0A9C">
        <w:rPr>
          <w:rFonts w:ascii="Times New Roman" w:eastAsia="Garamond" w:hAnsi="Times New Roman" w:cs="Times New Roman"/>
          <w:color w:val="000000"/>
          <w:lang w:eastAsia="it-IT"/>
        </w:rPr>
        <w:t xml:space="preserve">Investimento 17 di cui alla Missione 7 </w:t>
      </w:r>
      <w:proofErr w:type="spellStart"/>
      <w:r w:rsidRPr="00AE0A9C">
        <w:rPr>
          <w:rFonts w:ascii="Times New Roman" w:eastAsia="Garamond" w:hAnsi="Times New Roman" w:cs="Times New Roman"/>
          <w:color w:val="000000"/>
          <w:lang w:eastAsia="it-IT"/>
        </w:rPr>
        <w:t>REPowerEU</w:t>
      </w:r>
      <w:proofErr w:type="spellEnd"/>
      <w:r w:rsidRPr="00AE0A9C">
        <w:rPr>
          <w:rFonts w:ascii="Times New Roman" w:eastAsia="Garamond" w:hAnsi="Times New Roman" w:cs="Times New Roman"/>
          <w:color w:val="000000"/>
          <w:lang w:eastAsia="it-IT"/>
        </w:rPr>
        <w:t xml:space="preserve"> del PNRR 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e di averne tenuto conto ai fini dell’elaborazione della proposta progettuale; </w:t>
      </w:r>
    </w:p>
    <w:p w14:paraId="035AE3E5" w14:textId="77777777" w:rsidR="00834E8F" w:rsidRPr="00E65560" w:rsidRDefault="00834E8F" w:rsidP="00834E8F">
      <w:pPr>
        <w:numPr>
          <w:ilvl w:val="0"/>
          <w:numId w:val="2"/>
        </w:numPr>
        <w:spacing w:after="3" w:line="257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lastRenderedPageBreak/>
        <w:t xml:space="preserve">di </w:t>
      </w:r>
      <w:r>
        <w:rPr>
          <w:rFonts w:ascii="Times New Roman" w:eastAsia="Garamond" w:hAnsi="Times New Roman" w:cs="Times New Roman"/>
          <w:color w:val="000000"/>
          <w:lang w:eastAsia="it-IT"/>
        </w:rPr>
        <w:t>aver preso visione delle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 condizioni </w:t>
      </w:r>
      <w:r>
        <w:rPr>
          <w:rFonts w:ascii="Times New Roman" w:eastAsia="Garamond" w:hAnsi="Times New Roman" w:cs="Times New Roman"/>
          <w:color w:val="000000"/>
          <w:lang w:eastAsia="it-IT"/>
        </w:rPr>
        <w:t xml:space="preserve">e delle </w:t>
      </w:r>
      <w:r w:rsidRPr="00AE0A9C">
        <w:rPr>
          <w:rFonts w:ascii="Times New Roman" w:eastAsia="Garamond" w:hAnsi="Times New Roman" w:cs="Times New Roman"/>
          <w:color w:val="000000"/>
          <w:lang w:eastAsia="it-IT"/>
        </w:rPr>
        <w:t xml:space="preserve">modalità di accesso allo strumento finanziario previsto </w:t>
      </w:r>
      <w:bookmarkStart w:id="0" w:name="_Hlk204789591"/>
      <w:r w:rsidRPr="00AE0A9C">
        <w:rPr>
          <w:rFonts w:ascii="Times New Roman" w:eastAsia="Garamond" w:hAnsi="Times New Roman" w:cs="Times New Roman"/>
          <w:color w:val="000000"/>
          <w:lang w:eastAsia="it-IT"/>
        </w:rPr>
        <w:t xml:space="preserve">dall’Investimento 17 di cui alla Missione 7 </w:t>
      </w:r>
      <w:proofErr w:type="spellStart"/>
      <w:r w:rsidRPr="00AE0A9C">
        <w:rPr>
          <w:rFonts w:ascii="Times New Roman" w:eastAsia="Garamond" w:hAnsi="Times New Roman" w:cs="Times New Roman"/>
          <w:color w:val="000000"/>
          <w:lang w:eastAsia="it-IT"/>
        </w:rPr>
        <w:t>REPowerEU</w:t>
      </w:r>
      <w:proofErr w:type="spellEnd"/>
      <w:r w:rsidRPr="00AE0A9C">
        <w:rPr>
          <w:rFonts w:ascii="Times New Roman" w:eastAsia="Garamond" w:hAnsi="Times New Roman" w:cs="Times New Roman"/>
          <w:color w:val="000000"/>
          <w:lang w:eastAsia="it-IT"/>
        </w:rPr>
        <w:t xml:space="preserve"> del PNRR</w:t>
      </w:r>
      <w:bookmarkEnd w:id="0"/>
      <w:r w:rsidRPr="00AE0A9C">
        <w:rPr>
          <w:rFonts w:ascii="Times New Roman" w:eastAsia="Garamond" w:hAnsi="Times New Roman" w:cs="Times New Roman"/>
          <w:color w:val="000000"/>
          <w:lang w:eastAsia="it-IT"/>
        </w:rPr>
        <w:t xml:space="preserve"> 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previste </w:t>
      </w:r>
      <w:r>
        <w:rPr>
          <w:rFonts w:ascii="Times New Roman" w:eastAsia="Garamond" w:hAnsi="Times New Roman" w:cs="Times New Roman"/>
          <w:color w:val="000000"/>
          <w:lang w:eastAsia="it-IT"/>
        </w:rPr>
        <w:t>dal D.M. del 9 aprile 2025</w:t>
      </w:r>
      <w:r w:rsidRPr="00AE0A9C">
        <w:rPr>
          <w:rFonts w:ascii="Times New Roman" w:hAnsi="Times New Roman" w:cs="Times New Roman"/>
          <w:bCs/>
          <w:iCs/>
        </w:rPr>
        <w:t xml:space="preserve"> </w:t>
      </w:r>
      <w:r w:rsidRPr="00AE0A9C">
        <w:rPr>
          <w:rFonts w:ascii="Times New Roman" w:eastAsia="Garamond" w:hAnsi="Times New Roman" w:cs="Times New Roman"/>
          <w:bCs/>
          <w:iCs/>
          <w:color w:val="000000"/>
          <w:lang w:eastAsia="it-IT"/>
        </w:rPr>
        <w:t>Efficientamento Energetico – ERP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 </w:t>
      </w:r>
      <w:r>
        <w:rPr>
          <w:rFonts w:ascii="Times New Roman" w:eastAsia="Garamond" w:hAnsi="Times New Roman" w:cs="Times New Roman"/>
          <w:color w:val="000000"/>
          <w:lang w:eastAsia="it-IT"/>
        </w:rPr>
        <w:t xml:space="preserve">nonché di essere in possesso dei requisiti </w:t>
      </w:r>
      <w:r w:rsidRPr="00AE0A9C">
        <w:rPr>
          <w:rFonts w:ascii="Times New Roman" w:eastAsia="Garamond" w:hAnsi="Times New Roman" w:cs="Times New Roman"/>
          <w:color w:val="000000"/>
          <w:lang w:eastAsia="it-IT"/>
        </w:rPr>
        <w:t>di ammissibilità alla Misura</w:t>
      </w:r>
      <w:r>
        <w:rPr>
          <w:rFonts w:ascii="Times New Roman" w:eastAsia="Garamond" w:hAnsi="Times New Roman" w:cs="Times New Roman"/>
          <w:color w:val="000000"/>
          <w:lang w:eastAsia="it-IT"/>
        </w:rPr>
        <w:t xml:space="preserve"> previsti dallo stesso Decreto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; </w:t>
      </w:r>
    </w:p>
    <w:p w14:paraId="50E58269" w14:textId="77777777" w:rsidR="00834E8F" w:rsidRDefault="00834E8F" w:rsidP="00834E8F">
      <w:pPr>
        <w:spacing w:after="0" w:line="240" w:lineRule="auto"/>
        <w:ind w:right="6"/>
        <w:contextualSpacing/>
        <w:jc w:val="center"/>
        <w:rPr>
          <w:rFonts w:ascii="Times New Roman" w:eastAsia="Garamond" w:hAnsi="Times New Roman" w:cs="Times New Roman"/>
          <w:b/>
          <w:color w:val="000000"/>
          <w:lang w:eastAsia="it-IT"/>
        </w:rPr>
      </w:pPr>
    </w:p>
    <w:p w14:paraId="0FC8D528" w14:textId="22274E62" w:rsidR="00834E8F" w:rsidRPr="00E65560" w:rsidRDefault="00834E8F" w:rsidP="00834E8F">
      <w:pPr>
        <w:spacing w:after="0" w:line="239" w:lineRule="auto"/>
        <w:ind w:right="4"/>
        <w:jc w:val="center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b/>
          <w:color w:val="000000"/>
          <w:lang w:eastAsia="it-IT"/>
        </w:rPr>
        <w:t>E SI IMPEGNA</w:t>
      </w:r>
      <w:r w:rsidR="00287E37">
        <w:rPr>
          <w:rFonts w:ascii="Times New Roman" w:eastAsia="Garamond" w:hAnsi="Times New Roman" w:cs="Times New Roman"/>
          <w:b/>
          <w:color w:val="000000"/>
          <w:lang w:eastAsia="it-IT"/>
        </w:rPr>
        <w:t xml:space="preserve"> A</w:t>
      </w:r>
    </w:p>
    <w:p w14:paraId="26A61F4C" w14:textId="77777777" w:rsidR="00834E8F" w:rsidRPr="00E65560" w:rsidRDefault="00834E8F" w:rsidP="00834E8F">
      <w:pPr>
        <w:spacing w:after="37"/>
        <w:ind w:left="720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 </w:t>
      </w:r>
    </w:p>
    <w:p w14:paraId="4E0B7030" w14:textId="77777777" w:rsidR="00834E8F" w:rsidRPr="00B24FE0" w:rsidRDefault="00834E8F" w:rsidP="00834E8F">
      <w:pPr>
        <w:pStyle w:val="Paragrafoelenco"/>
        <w:numPr>
          <w:ilvl w:val="0"/>
          <w:numId w:val="3"/>
        </w:numPr>
        <w:spacing w:after="53" w:line="260" w:lineRule="auto"/>
        <w:ind w:left="567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>
        <w:rPr>
          <w:rFonts w:ascii="Times New Roman" w:eastAsia="Garamond" w:hAnsi="Times New Roman" w:cs="Times New Roman"/>
          <w:color w:val="000000"/>
          <w:lang w:eastAsia="it-IT"/>
        </w:rPr>
        <w:t>pre</w:t>
      </w:r>
      <w:r w:rsidRPr="00B24FE0">
        <w:rPr>
          <w:rFonts w:ascii="Times New Roman" w:eastAsia="Garamond" w:hAnsi="Times New Roman" w:cs="Times New Roman"/>
          <w:color w:val="000000"/>
          <w:lang w:eastAsia="it-IT"/>
        </w:rPr>
        <w:t>sentare</w:t>
      </w:r>
      <w:r>
        <w:rPr>
          <w:rFonts w:ascii="Times New Roman" w:eastAsia="Garamond" w:hAnsi="Times New Roman" w:cs="Times New Roman"/>
          <w:color w:val="000000"/>
          <w:lang w:eastAsia="it-IT"/>
        </w:rPr>
        <w:t xml:space="preserve">, in caso di aggiudicazione, </w:t>
      </w:r>
      <w:r w:rsidRPr="00B24FE0">
        <w:rPr>
          <w:rFonts w:ascii="Times New Roman" w:eastAsia="Garamond" w:hAnsi="Times New Roman" w:cs="Times New Roman"/>
          <w:color w:val="000000"/>
          <w:lang w:eastAsia="it-IT"/>
        </w:rPr>
        <w:t>domanda di ammissione al contributo pubblico di cui</w:t>
      </w:r>
      <w:r w:rsidRPr="00840163">
        <w:rPr>
          <w:rFonts w:ascii="Franklin Gothic Book" w:hAnsi="Franklin Gothic Book" w:cs="Times New Roman"/>
          <w:color w:val="FF0000"/>
        </w:rPr>
        <w:t xml:space="preserve"> </w:t>
      </w:r>
      <w:r w:rsidRPr="00840163">
        <w:rPr>
          <w:rFonts w:ascii="Times New Roman" w:eastAsia="Garamond" w:hAnsi="Times New Roman" w:cs="Times New Roman"/>
          <w:color w:val="000000"/>
          <w:lang w:eastAsia="it-IT"/>
        </w:rPr>
        <w:t>al DM 9 aprile 2025</w:t>
      </w:r>
      <w:r w:rsidRPr="00B24FE0">
        <w:rPr>
          <w:rFonts w:ascii="Times New Roman" w:eastAsia="Garamond" w:hAnsi="Times New Roman" w:cs="Times New Roman"/>
          <w:color w:val="000000"/>
          <w:lang w:eastAsia="it-IT"/>
        </w:rPr>
        <w:t xml:space="preserve"> e </w:t>
      </w:r>
      <w:proofErr w:type="gramStart"/>
      <w:r w:rsidRPr="00B24FE0">
        <w:rPr>
          <w:rFonts w:ascii="Times New Roman" w:eastAsia="Garamond" w:hAnsi="Times New Roman" w:cs="Times New Roman"/>
          <w:color w:val="000000"/>
          <w:lang w:eastAsia="it-IT"/>
        </w:rPr>
        <w:t>porre in essere</w:t>
      </w:r>
      <w:proofErr w:type="gramEnd"/>
      <w:r w:rsidRPr="00B24FE0">
        <w:rPr>
          <w:rFonts w:ascii="Times New Roman" w:eastAsia="Garamond" w:hAnsi="Times New Roman" w:cs="Times New Roman"/>
          <w:color w:val="000000"/>
          <w:lang w:eastAsia="it-IT"/>
        </w:rPr>
        <w:t xml:space="preserve"> ogni altro connesso adempimento necessario all’accoglimento della domanda e alla successiva stipula dell’atto d’obbligo con il G.S.E. S.p.A.</w:t>
      </w:r>
      <w:r>
        <w:rPr>
          <w:rFonts w:ascii="Times New Roman" w:eastAsia="Garamond" w:hAnsi="Times New Roman" w:cs="Times New Roman"/>
          <w:color w:val="000000"/>
          <w:lang w:eastAsia="it-IT"/>
        </w:rPr>
        <w:t>;</w:t>
      </w:r>
    </w:p>
    <w:p w14:paraId="27DBC984" w14:textId="77777777" w:rsidR="00834E8F" w:rsidRPr="00E65560" w:rsidRDefault="00834E8F" w:rsidP="00834E8F">
      <w:pPr>
        <w:pStyle w:val="Paragrafoelenco"/>
        <w:numPr>
          <w:ilvl w:val="0"/>
          <w:numId w:val="3"/>
        </w:numPr>
        <w:spacing w:after="53" w:line="260" w:lineRule="auto"/>
        <w:ind w:left="567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avviare tempestivamente le attività necessarie per non incorrere in ritardi attuativi e concludere il progetto nella forma, nei modi e nei tempi previsti; </w:t>
      </w:r>
    </w:p>
    <w:p w14:paraId="35CE8BE5" w14:textId="77777777" w:rsidR="00834E8F" w:rsidRPr="00E65560" w:rsidRDefault="00834E8F" w:rsidP="00834E8F">
      <w:pPr>
        <w:pStyle w:val="Paragrafoelenco"/>
        <w:numPr>
          <w:ilvl w:val="0"/>
          <w:numId w:val="3"/>
        </w:numPr>
        <w:spacing w:after="53" w:line="260" w:lineRule="auto"/>
        <w:ind w:left="567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>adottare una codificazione contabile adeguata</w:t>
      </w:r>
      <w:r w:rsidRPr="00E65560">
        <w:rPr>
          <w:sz w:val="21"/>
          <w:vertAlign w:val="superscript"/>
          <w:lang w:eastAsia="it-IT"/>
        </w:rPr>
        <w:footnoteReference w:id="1"/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 e informatizzata per tutte le transazioni relative al progetto per assicurare la tracciabilità dell’utilizzo delle risorse del PNRR; </w:t>
      </w:r>
    </w:p>
    <w:p w14:paraId="4FD999D8" w14:textId="77777777" w:rsidR="00834E8F" w:rsidRPr="00E65560" w:rsidRDefault="00834E8F" w:rsidP="00834E8F">
      <w:pPr>
        <w:pStyle w:val="Paragrafoelenco"/>
        <w:numPr>
          <w:ilvl w:val="0"/>
          <w:numId w:val="3"/>
        </w:numPr>
        <w:spacing w:after="53" w:line="260" w:lineRule="auto"/>
        <w:ind w:left="567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effettuare i controlli di gestione e i controlli amministrativo-contabili previsti dalla legislazione nazionale applicabile per garantire la regolarità delle procedure e delle spese sostenute prima di rendicontarle </w:t>
      </w:r>
      <w:r>
        <w:rPr>
          <w:rFonts w:ascii="Times New Roman" w:eastAsia="Garamond" w:hAnsi="Times New Roman" w:cs="Times New Roman"/>
          <w:color w:val="000000"/>
          <w:lang w:eastAsia="it-IT"/>
        </w:rPr>
        <w:t xml:space="preserve">al soggetto attuatore della misura, 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nonché la riferibilità delle spese al progetto ammesso al finanziamento sul PNRR; </w:t>
      </w:r>
    </w:p>
    <w:p w14:paraId="69EFE283" w14:textId="77777777" w:rsidR="00834E8F" w:rsidRPr="00E65560" w:rsidRDefault="00834E8F" w:rsidP="00834E8F">
      <w:pPr>
        <w:pStyle w:val="Paragrafoelenco"/>
        <w:numPr>
          <w:ilvl w:val="0"/>
          <w:numId w:val="3"/>
        </w:numPr>
        <w:spacing w:after="53" w:line="260" w:lineRule="auto"/>
        <w:ind w:left="567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presentare la rendicontazione delle spese effettivamente sostenute o dei costi esposti maturati nel caso di ricorso alle opzioni semplificate in materia di costi, nei tempi e nei modi previsti dall’avviso pubblico; </w:t>
      </w:r>
    </w:p>
    <w:p w14:paraId="32D19CC6" w14:textId="77777777" w:rsidR="00834E8F" w:rsidRPr="00D55478" w:rsidRDefault="00834E8F" w:rsidP="00834E8F">
      <w:pPr>
        <w:pStyle w:val="Paragrafoelenco"/>
        <w:numPr>
          <w:ilvl w:val="0"/>
          <w:numId w:val="2"/>
        </w:numPr>
        <w:spacing w:after="57" w:line="257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rispettare gli adempimenti in materia di trasparenza amministrativa, ai sensi del decreto legislativo 14 marzo 2013, n. 33 e gli obblighi in materia di comunicazione e informazione previsti dall’articolo 34 del regolamento (UE) 2021/241, indicando in tutta la documentazione amministrativa e tecnica che il progetto è finanziato nell’ambito del PNRR, </w:t>
      </w:r>
      <w:r w:rsidRPr="00D55478">
        <w:rPr>
          <w:rFonts w:ascii="Times New Roman" w:eastAsia="Garamond" w:hAnsi="Times New Roman" w:cs="Times New Roman"/>
          <w:color w:val="000000"/>
          <w:lang w:eastAsia="it-IT"/>
        </w:rPr>
        <w:t>con una esplicita dichiarazione di finanziamento che reciti “</w:t>
      </w:r>
      <w:r w:rsidRPr="00D55478">
        <w:rPr>
          <w:rFonts w:ascii="Times New Roman" w:eastAsia="Garamond" w:hAnsi="Times New Roman" w:cs="Times New Roman"/>
          <w:i/>
          <w:color w:val="000000"/>
          <w:lang w:eastAsia="it-IT"/>
        </w:rPr>
        <w:t xml:space="preserve">Finanziato dall’Unione europea – </w:t>
      </w:r>
      <w:proofErr w:type="spellStart"/>
      <w:r w:rsidRPr="00D55478">
        <w:rPr>
          <w:rFonts w:ascii="Times New Roman" w:eastAsia="Garamond" w:hAnsi="Times New Roman" w:cs="Times New Roman"/>
          <w:i/>
          <w:color w:val="000000"/>
          <w:lang w:eastAsia="it-IT"/>
        </w:rPr>
        <w:t>NextGenerationEU</w:t>
      </w:r>
      <w:proofErr w:type="spellEnd"/>
      <w:r w:rsidRPr="00D55478">
        <w:rPr>
          <w:rFonts w:ascii="Times New Roman" w:eastAsia="Garamond" w:hAnsi="Times New Roman" w:cs="Times New Roman"/>
          <w:color w:val="000000"/>
          <w:lang w:eastAsia="it-IT"/>
        </w:rPr>
        <w:t xml:space="preserve">” e valorizzando l’emblema dell’Unione europea; </w:t>
      </w:r>
    </w:p>
    <w:p w14:paraId="2E7821F6" w14:textId="77777777" w:rsidR="00834E8F" w:rsidRPr="00D55478" w:rsidRDefault="00834E8F" w:rsidP="00834E8F">
      <w:pPr>
        <w:pStyle w:val="Paragrafoelenco"/>
        <w:numPr>
          <w:ilvl w:val="0"/>
          <w:numId w:val="2"/>
        </w:numPr>
        <w:spacing w:after="57" w:line="257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D55478">
        <w:rPr>
          <w:rFonts w:ascii="Times New Roman" w:eastAsia="Garamond" w:hAnsi="Times New Roman" w:cs="Times New Roman"/>
          <w:color w:val="000000"/>
          <w:lang w:eastAsia="it-IT"/>
        </w:rPr>
        <w:t xml:space="preserve">rispettare le tempistiche di attuazione degli interventi del cronoprogramma di interventi </w:t>
      </w:r>
      <w:r>
        <w:rPr>
          <w:rFonts w:ascii="Times New Roman" w:eastAsia="Garamond" w:hAnsi="Times New Roman" w:cs="Times New Roman"/>
          <w:color w:val="000000"/>
          <w:lang w:eastAsia="it-IT"/>
        </w:rPr>
        <w:t>come</w:t>
      </w:r>
      <w:r w:rsidRPr="00D55478">
        <w:rPr>
          <w:rFonts w:ascii="Times New Roman" w:eastAsia="Garamond" w:hAnsi="Times New Roman" w:cs="Times New Roman"/>
          <w:color w:val="000000"/>
          <w:lang w:eastAsia="it-IT"/>
        </w:rPr>
        <w:t xml:space="preserve"> indicato nell’accordo di concessione del finanziamento; </w:t>
      </w:r>
    </w:p>
    <w:p w14:paraId="51BB9F86" w14:textId="77777777" w:rsidR="00834E8F" w:rsidRPr="00E65560" w:rsidRDefault="00834E8F" w:rsidP="00834E8F">
      <w:pPr>
        <w:numPr>
          <w:ilvl w:val="0"/>
          <w:numId w:val="2"/>
        </w:numPr>
        <w:spacing w:after="57" w:line="257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rispettare tutte le indicazioni che saranno fornite dal </w:t>
      </w:r>
      <w:r>
        <w:rPr>
          <w:rFonts w:ascii="Times New Roman" w:eastAsia="Garamond" w:hAnsi="Times New Roman" w:cs="Times New Roman"/>
          <w:color w:val="000000"/>
          <w:lang w:eastAsia="it-IT"/>
        </w:rPr>
        <w:t xml:space="preserve">G.S.E. </w:t>
      </w:r>
      <w:proofErr w:type="spellStart"/>
      <w:r>
        <w:rPr>
          <w:rFonts w:ascii="Times New Roman" w:eastAsia="Garamond" w:hAnsi="Times New Roman" w:cs="Times New Roman"/>
          <w:color w:val="000000"/>
          <w:lang w:eastAsia="it-IT"/>
        </w:rPr>
        <w:t>S.p.A</w:t>
      </w:r>
      <w:proofErr w:type="spellEnd"/>
      <w:r>
        <w:rPr>
          <w:rFonts w:ascii="Times New Roman" w:eastAsia="Garamond" w:hAnsi="Times New Roman" w:cs="Times New Roman"/>
          <w:color w:val="000000"/>
          <w:lang w:eastAsia="it-IT"/>
        </w:rPr>
        <w:t xml:space="preserve"> e dal </w:t>
      </w:r>
      <w:r w:rsidRPr="00C91BB4">
        <w:rPr>
          <w:rFonts w:ascii="Times New Roman" w:eastAsia="Garamond" w:hAnsi="Times New Roman" w:cs="Times New Roman"/>
          <w:color w:val="000000"/>
          <w:lang w:eastAsia="it-IT"/>
        </w:rPr>
        <w:t>Ministero per gli affari europei, il Sud, le politiche di coesione e per il PNRR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 in merito all’attuazione degli interventi anche successive alla pubblicazione </w:t>
      </w:r>
      <w:r>
        <w:rPr>
          <w:rFonts w:ascii="Times New Roman" w:eastAsia="Garamond" w:hAnsi="Times New Roman" w:cs="Times New Roman"/>
          <w:color w:val="000000"/>
          <w:lang w:eastAsia="it-IT"/>
        </w:rPr>
        <w:t>D.M. 9 aprile 2025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;  </w:t>
      </w:r>
    </w:p>
    <w:p w14:paraId="25E3CA9F" w14:textId="77777777" w:rsidR="00834E8F" w:rsidRPr="00E65560" w:rsidRDefault="00834E8F" w:rsidP="00834E8F">
      <w:pPr>
        <w:numPr>
          <w:ilvl w:val="0"/>
          <w:numId w:val="2"/>
        </w:numPr>
        <w:spacing w:after="57" w:line="257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rispettare l’obbligo di rilevazione e imputazione nel sistema informatico dei dati di monitoraggio sull’avanzamento procedurale, fisico e finanziario del progetto, dall’articolo 22.2, lettera </w:t>
      </w:r>
      <w:r w:rsidRPr="00E65560">
        <w:rPr>
          <w:rFonts w:ascii="Times New Roman" w:eastAsia="Garamond" w:hAnsi="Times New Roman" w:cs="Times New Roman"/>
          <w:i/>
          <w:color w:val="000000"/>
          <w:lang w:eastAsia="it-IT"/>
        </w:rPr>
        <w:t>d)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, del regolamento (UE) 2021/241; </w:t>
      </w:r>
    </w:p>
    <w:p w14:paraId="2EE101AA" w14:textId="77777777" w:rsidR="00834E8F" w:rsidRPr="00E65560" w:rsidRDefault="00834E8F" w:rsidP="00834E8F">
      <w:pPr>
        <w:numPr>
          <w:ilvl w:val="0"/>
          <w:numId w:val="2"/>
        </w:numPr>
        <w:spacing w:after="0" w:line="260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comprovare il conseguimento dei </w:t>
      </w:r>
      <w:r w:rsidRPr="00E65560">
        <w:rPr>
          <w:rFonts w:ascii="Times New Roman" w:eastAsia="Garamond" w:hAnsi="Times New Roman" w:cs="Times New Roman"/>
          <w:i/>
          <w:color w:val="000000"/>
          <w:lang w:eastAsia="it-IT"/>
        </w:rPr>
        <w:t>target e dei milestone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 associati agli interventi con la produzione e l’imputazione nel sistema informatico della documentazione probatoria pertinente; assicurare la conservazione della documentazione progettuale in fascicoli cartacei o informatici ai fini della completa tracciabilità delle operazioni – nel rispetto di quanto previsto dal decreto legislativo 7 marzo 2005, n. 82 e all’articolo 9, comma 4, del decreto-legge 31 maggio 2021, n. 77, convertito, con modificazioni, dalla legge 29 luglio 2021, n. 108 – che, nelle diverse fasi di controllo e verifica previste dal sistema di gestione e controllo del PNRR, dovranno essere messi prontamente a disposizione su richiesta del </w:t>
      </w:r>
      <w:r>
        <w:rPr>
          <w:rFonts w:ascii="Times New Roman" w:eastAsia="Garamond" w:hAnsi="Times New Roman" w:cs="Times New Roman"/>
          <w:color w:val="000000"/>
          <w:lang w:eastAsia="it-IT"/>
        </w:rPr>
        <w:t>G.S.E S.p.A. del</w:t>
      </w:r>
      <w:r w:rsidRPr="00C91BB4">
        <w:t xml:space="preserve"> </w:t>
      </w:r>
      <w:r w:rsidRPr="00C91BB4">
        <w:rPr>
          <w:rFonts w:ascii="Times New Roman" w:eastAsia="Garamond" w:hAnsi="Times New Roman" w:cs="Times New Roman"/>
          <w:color w:val="000000"/>
          <w:lang w:eastAsia="it-IT"/>
        </w:rPr>
        <w:t>Ministero per gli affari europei, il Sud, le politiche di coesione e per il PNRR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, del Servizio centrale per il PNRR, dell’Unità di Audit, della Commissione europea, dell’OLAF, della Corte dei Conti europea (ECA), della Procura europea (EPPO) e delle competenti Autorità giudiziarie nazionali. </w:t>
      </w:r>
    </w:p>
    <w:p w14:paraId="0909B0AD" w14:textId="77777777" w:rsidR="00834E8F" w:rsidRPr="00E65560" w:rsidRDefault="00834E8F" w:rsidP="00834E8F">
      <w:pPr>
        <w:spacing w:after="0"/>
        <w:ind w:left="720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 </w:t>
      </w:r>
    </w:p>
    <w:p w14:paraId="2D8F5450" w14:textId="77777777" w:rsidR="003B3CA5" w:rsidRDefault="003B3CA5" w:rsidP="003B3C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 xml:space="preserve">Documento sottoscritto con firma digitale, ai sensi del D.Lgs. 7 marzo 2005, n. 82 e del decreto del Presidente del </w:t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Consiglio dei Ministri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 xml:space="preserve"> 30 marzo 2009 e successive modificazioni</w:t>
      </w:r>
    </w:p>
    <w:p w14:paraId="2DCA8DE2" w14:textId="77777777" w:rsidR="00834E8F" w:rsidRPr="00E65560" w:rsidRDefault="00834E8F" w:rsidP="00834E8F">
      <w:pPr>
        <w:spacing w:after="0"/>
        <w:ind w:left="57"/>
        <w:jc w:val="center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 </w:t>
      </w:r>
    </w:p>
    <w:p w14:paraId="4EB1E972" w14:textId="77777777" w:rsidR="00834E8F" w:rsidRDefault="00834E8F" w:rsidP="00834E8F">
      <w:pPr>
        <w:spacing w:line="276" w:lineRule="auto"/>
        <w:jc w:val="both"/>
        <w:rPr>
          <w:rFonts w:ascii="Times New Roman" w:hAnsi="Times New Roman" w:cs="Times New Roman"/>
        </w:rPr>
      </w:pPr>
    </w:p>
    <w:p w14:paraId="4C91082D" w14:textId="77777777" w:rsidR="00834E8F" w:rsidRDefault="00834E8F"/>
    <w:sectPr w:rsidR="00834E8F" w:rsidSect="00624C4B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E1ACF" w14:textId="77777777" w:rsidR="008A5994" w:rsidRDefault="008A5994" w:rsidP="00834E8F">
      <w:pPr>
        <w:spacing w:after="0" w:line="240" w:lineRule="auto"/>
      </w:pPr>
      <w:r>
        <w:separator/>
      </w:r>
    </w:p>
  </w:endnote>
  <w:endnote w:type="continuationSeparator" w:id="0">
    <w:p w14:paraId="35B4128B" w14:textId="77777777" w:rsidR="008A5994" w:rsidRDefault="008A5994" w:rsidP="00834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FEDC7" w14:textId="77777777" w:rsidR="008A5994" w:rsidRDefault="008A5994" w:rsidP="00834E8F">
      <w:pPr>
        <w:spacing w:after="0" w:line="240" w:lineRule="auto"/>
      </w:pPr>
      <w:r>
        <w:separator/>
      </w:r>
    </w:p>
  </w:footnote>
  <w:footnote w:type="continuationSeparator" w:id="0">
    <w:p w14:paraId="739E6EA9" w14:textId="77777777" w:rsidR="008A5994" w:rsidRDefault="008A5994" w:rsidP="00834E8F">
      <w:pPr>
        <w:spacing w:after="0" w:line="240" w:lineRule="auto"/>
      </w:pPr>
      <w:r>
        <w:continuationSeparator/>
      </w:r>
    </w:p>
  </w:footnote>
  <w:footnote w:id="1">
    <w:p w14:paraId="11E4DD8D" w14:textId="77777777" w:rsidR="00834E8F" w:rsidRDefault="00834E8F" w:rsidP="00834E8F">
      <w:pPr>
        <w:pStyle w:val="footnotedescription"/>
      </w:pPr>
      <w:r>
        <w:rPr>
          <w:rStyle w:val="footnotemark"/>
        </w:rPr>
        <w:footnoteRef/>
      </w:r>
      <w:r>
        <w:t xml:space="preserve"> Es.: utilizzo di appositi capitoli all’interno del piano esecutivo di gestione o del bilancio finanziario gestionale al fine di garantire l’individuazione delle entrate e delle uscite relative alle risorse del PNRR dedicate a specifici progetti</w:t>
      </w:r>
      <w:r>
        <w:rPr>
          <w:i w:val="0"/>
        </w:rPr>
        <w:t>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D3537"/>
    <w:multiLevelType w:val="hybridMultilevel"/>
    <w:tmpl w:val="7B88AFC0"/>
    <w:lvl w:ilvl="0" w:tplc="CF4E5EDC">
      <w:start w:val="1"/>
      <w:numFmt w:val="decimal"/>
      <w:lvlText w:val="%1."/>
      <w:lvlJc w:val="left"/>
      <w:pPr>
        <w:ind w:left="629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CCCBDC">
      <w:start w:val="1"/>
      <w:numFmt w:val="lowerLetter"/>
      <w:lvlText w:val="%2"/>
      <w:lvlJc w:val="left"/>
      <w:pPr>
        <w:ind w:left="136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7AFC4C">
      <w:start w:val="1"/>
      <w:numFmt w:val="lowerRoman"/>
      <w:lvlText w:val="%3"/>
      <w:lvlJc w:val="left"/>
      <w:pPr>
        <w:ind w:left="208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42C6C0">
      <w:start w:val="1"/>
      <w:numFmt w:val="decimal"/>
      <w:lvlText w:val="%4"/>
      <w:lvlJc w:val="left"/>
      <w:pPr>
        <w:ind w:left="280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948C70">
      <w:start w:val="1"/>
      <w:numFmt w:val="lowerLetter"/>
      <w:lvlText w:val="%5"/>
      <w:lvlJc w:val="left"/>
      <w:pPr>
        <w:ind w:left="352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887CAE">
      <w:start w:val="1"/>
      <w:numFmt w:val="lowerRoman"/>
      <w:lvlText w:val="%6"/>
      <w:lvlJc w:val="left"/>
      <w:pPr>
        <w:ind w:left="424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B67C8E">
      <w:start w:val="1"/>
      <w:numFmt w:val="decimal"/>
      <w:lvlText w:val="%7"/>
      <w:lvlJc w:val="left"/>
      <w:pPr>
        <w:ind w:left="496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68C9E">
      <w:start w:val="1"/>
      <w:numFmt w:val="lowerLetter"/>
      <w:lvlText w:val="%8"/>
      <w:lvlJc w:val="left"/>
      <w:pPr>
        <w:ind w:left="568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4A0D44">
      <w:start w:val="1"/>
      <w:numFmt w:val="lowerRoman"/>
      <w:lvlText w:val="%9"/>
      <w:lvlJc w:val="left"/>
      <w:pPr>
        <w:ind w:left="640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F1572D"/>
    <w:multiLevelType w:val="hybridMultilevel"/>
    <w:tmpl w:val="1FCA04EC"/>
    <w:lvl w:ilvl="0" w:tplc="0410000F">
      <w:start w:val="1"/>
      <w:numFmt w:val="decimal"/>
      <w:lvlText w:val="%1."/>
      <w:lvlJc w:val="left"/>
      <w:pPr>
        <w:ind w:left="1349" w:hanging="360"/>
      </w:pPr>
    </w:lvl>
    <w:lvl w:ilvl="1" w:tplc="04100019" w:tentative="1">
      <w:start w:val="1"/>
      <w:numFmt w:val="lowerLetter"/>
      <w:lvlText w:val="%2."/>
      <w:lvlJc w:val="left"/>
      <w:pPr>
        <w:ind w:left="2069" w:hanging="360"/>
      </w:pPr>
    </w:lvl>
    <w:lvl w:ilvl="2" w:tplc="0410001B" w:tentative="1">
      <w:start w:val="1"/>
      <w:numFmt w:val="lowerRoman"/>
      <w:lvlText w:val="%3."/>
      <w:lvlJc w:val="right"/>
      <w:pPr>
        <w:ind w:left="2789" w:hanging="180"/>
      </w:pPr>
    </w:lvl>
    <w:lvl w:ilvl="3" w:tplc="0410000F" w:tentative="1">
      <w:start w:val="1"/>
      <w:numFmt w:val="decimal"/>
      <w:lvlText w:val="%4."/>
      <w:lvlJc w:val="left"/>
      <w:pPr>
        <w:ind w:left="3509" w:hanging="360"/>
      </w:pPr>
    </w:lvl>
    <w:lvl w:ilvl="4" w:tplc="04100019" w:tentative="1">
      <w:start w:val="1"/>
      <w:numFmt w:val="lowerLetter"/>
      <w:lvlText w:val="%5."/>
      <w:lvlJc w:val="left"/>
      <w:pPr>
        <w:ind w:left="4229" w:hanging="360"/>
      </w:pPr>
    </w:lvl>
    <w:lvl w:ilvl="5" w:tplc="0410001B" w:tentative="1">
      <w:start w:val="1"/>
      <w:numFmt w:val="lowerRoman"/>
      <w:lvlText w:val="%6."/>
      <w:lvlJc w:val="right"/>
      <w:pPr>
        <w:ind w:left="4949" w:hanging="180"/>
      </w:pPr>
    </w:lvl>
    <w:lvl w:ilvl="6" w:tplc="0410000F" w:tentative="1">
      <w:start w:val="1"/>
      <w:numFmt w:val="decimal"/>
      <w:lvlText w:val="%7."/>
      <w:lvlJc w:val="left"/>
      <w:pPr>
        <w:ind w:left="5669" w:hanging="360"/>
      </w:pPr>
    </w:lvl>
    <w:lvl w:ilvl="7" w:tplc="04100019" w:tentative="1">
      <w:start w:val="1"/>
      <w:numFmt w:val="lowerLetter"/>
      <w:lvlText w:val="%8."/>
      <w:lvlJc w:val="left"/>
      <w:pPr>
        <w:ind w:left="6389" w:hanging="360"/>
      </w:pPr>
    </w:lvl>
    <w:lvl w:ilvl="8" w:tplc="0410001B" w:tentative="1">
      <w:start w:val="1"/>
      <w:numFmt w:val="lowerRoman"/>
      <w:lvlText w:val="%9."/>
      <w:lvlJc w:val="right"/>
      <w:pPr>
        <w:ind w:left="7109" w:hanging="180"/>
      </w:pPr>
    </w:lvl>
  </w:abstractNum>
  <w:abstractNum w:abstractNumId="2" w15:restartNumberingAfterBreak="0">
    <w:nsid w:val="68A83C41"/>
    <w:multiLevelType w:val="multilevel"/>
    <w:tmpl w:val="3996BC6A"/>
    <w:lvl w:ilvl="0">
      <w:start w:val="22"/>
      <w:numFmt w:val="decimal"/>
      <w:lvlText w:val="%1."/>
      <w:lvlJc w:val="left"/>
      <w:pPr>
        <w:ind w:left="360" w:hanging="360"/>
      </w:pPr>
      <w:rPr>
        <w:rFonts w:ascii="Titillium" w:hAnsi="Titillium" w:hint="default"/>
        <w:b/>
        <w:i w:val="0"/>
        <w:sz w:val="18"/>
        <w:szCs w:val="18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2076968719">
    <w:abstractNumId w:val="2"/>
  </w:num>
  <w:num w:numId="2" w16cid:durableId="1759248714">
    <w:abstractNumId w:val="0"/>
  </w:num>
  <w:num w:numId="3" w16cid:durableId="333916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E8F"/>
    <w:rsid w:val="00274B8E"/>
    <w:rsid w:val="00287E37"/>
    <w:rsid w:val="003B3CA5"/>
    <w:rsid w:val="004D7358"/>
    <w:rsid w:val="00624C4B"/>
    <w:rsid w:val="00834E8F"/>
    <w:rsid w:val="008A5994"/>
    <w:rsid w:val="009D6194"/>
    <w:rsid w:val="00A217DC"/>
    <w:rsid w:val="00B21B02"/>
    <w:rsid w:val="00C8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6F323"/>
  <w15:chartTrackingRefBased/>
  <w15:docId w15:val="{565F3510-5263-4983-8D76-BDD03CB40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34E8F"/>
    <w:pPr>
      <w:spacing w:line="259" w:lineRule="auto"/>
    </w:pPr>
    <w:rPr>
      <w:kern w:val="0"/>
      <w:sz w:val="22"/>
      <w:szCs w:val="22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34E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34E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34E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34E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34E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34E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34E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34E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34E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34E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34E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34E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34E8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34E8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34E8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34E8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34E8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34E8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34E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34E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34E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34E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34E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34E8F"/>
    <w:rPr>
      <w:i/>
      <w:iCs/>
      <w:color w:val="404040" w:themeColor="text1" w:themeTint="BF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834E8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34E8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34E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34E8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34E8F"/>
    <w:rPr>
      <w:b/>
      <w:bCs/>
      <w:smallCaps/>
      <w:color w:val="0F4761" w:themeColor="accent1" w:themeShade="BF"/>
      <w:spacing w:val="5"/>
    </w:rPr>
  </w:style>
  <w:style w:type="paragraph" w:customStyle="1" w:styleId="footnotedescription">
    <w:name w:val="footnote description"/>
    <w:next w:val="Normale"/>
    <w:link w:val="footnotedescriptionChar"/>
    <w:hidden/>
    <w:rsid w:val="00834E8F"/>
    <w:pPr>
      <w:spacing w:after="0" w:line="251" w:lineRule="auto"/>
    </w:pPr>
    <w:rPr>
      <w:rFonts w:ascii="Garamond" w:eastAsia="Garamond" w:hAnsi="Garamond" w:cs="Garamond"/>
      <w:i/>
      <w:color w:val="000000"/>
      <w:sz w:val="20"/>
      <w:lang w:eastAsia="it-IT"/>
    </w:rPr>
  </w:style>
  <w:style w:type="character" w:customStyle="1" w:styleId="footnotedescriptionChar">
    <w:name w:val="footnote description Char"/>
    <w:link w:val="footnotedescription"/>
    <w:rsid w:val="00834E8F"/>
    <w:rPr>
      <w:rFonts w:ascii="Garamond" w:eastAsia="Garamond" w:hAnsi="Garamond" w:cs="Garamond"/>
      <w:i/>
      <w:color w:val="000000"/>
      <w:sz w:val="20"/>
      <w:lang w:eastAsia="it-IT"/>
    </w:rPr>
  </w:style>
  <w:style w:type="character" w:customStyle="1" w:styleId="footnotemark">
    <w:name w:val="footnote mark"/>
    <w:hidden/>
    <w:rsid w:val="00834E8F"/>
    <w:rPr>
      <w:rFonts w:ascii="Garamond" w:eastAsia="Garamond" w:hAnsi="Garamond" w:cs="Garamond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1083</Words>
  <Characters>6178</Characters>
  <Application>Microsoft Office Word</Application>
  <DocSecurity>0</DocSecurity>
  <Lines>51</Lines>
  <Paragraphs>14</Paragraphs>
  <ScaleCrop>false</ScaleCrop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Nobiletti</dc:creator>
  <cp:keywords/>
  <dc:description/>
  <cp:lastModifiedBy>Mariangela Nobiletti</cp:lastModifiedBy>
  <cp:revision>5</cp:revision>
  <dcterms:created xsi:type="dcterms:W3CDTF">2025-10-23T12:35:00Z</dcterms:created>
  <dcterms:modified xsi:type="dcterms:W3CDTF">2025-11-11T09:47:00Z</dcterms:modified>
</cp:coreProperties>
</file>